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8529"/>
      </w:tblGrid>
      <w:tr w:rsidR="00260B67" w:rsidRPr="00260B67" w14:paraId="4090A625" w14:textId="77777777" w:rsidTr="00C10066">
        <w:tc>
          <w:tcPr>
            <w:tcW w:w="8529" w:type="dxa"/>
          </w:tcPr>
          <w:p w14:paraId="2EA69828" w14:textId="77777777" w:rsidR="00260B67" w:rsidRPr="00260B67" w:rsidRDefault="00260B67" w:rsidP="00C10066">
            <w:pPr>
              <w:pStyle w:val="Heading1"/>
              <w:rPr>
                <w:szCs w:val="24"/>
                <w:lang w:val="tr-TR"/>
              </w:rPr>
            </w:pPr>
            <w:r w:rsidRPr="00260B67">
              <w:rPr>
                <w:szCs w:val="24"/>
                <w:lang w:val="tr-TR"/>
              </w:rPr>
              <w:t>BORSA İSTANBUL A.Ş. PAY PİYASASI</w:t>
            </w:r>
          </w:p>
          <w:p w14:paraId="4827F938" w14:textId="77777777" w:rsidR="00260B67" w:rsidRPr="00260B67" w:rsidRDefault="00260B67" w:rsidP="00C10066">
            <w:pPr>
              <w:numPr>
                <w:ilvl w:val="12"/>
                <w:numId w:val="0"/>
              </w:numPr>
              <w:jc w:val="center"/>
              <w:rPr>
                <w:rFonts w:ascii="Times New Roman" w:hAnsi="Times New Roman" w:cs="Times New Roman"/>
                <w:b/>
                <w:sz w:val="24"/>
                <w:szCs w:val="24"/>
                <w:lang w:val="tr-TR"/>
              </w:rPr>
            </w:pPr>
            <w:r w:rsidRPr="00260B67">
              <w:rPr>
                <w:rFonts w:ascii="Times New Roman" w:hAnsi="Times New Roman" w:cs="Times New Roman"/>
                <w:b/>
                <w:sz w:val="24"/>
                <w:szCs w:val="24"/>
                <w:lang w:val="tr-TR"/>
              </w:rPr>
              <w:t>PİYASA YAPICILIK TAAHHÜTNAMESİ</w:t>
            </w:r>
          </w:p>
        </w:tc>
      </w:tr>
    </w:tbl>
    <w:p w14:paraId="0842BA41" w14:textId="77777777" w:rsidR="00260B67" w:rsidRPr="00260B67" w:rsidRDefault="00260B67" w:rsidP="00260B67">
      <w:pPr>
        <w:numPr>
          <w:ilvl w:val="12"/>
          <w:numId w:val="0"/>
        </w:numPr>
        <w:ind w:left="283" w:hanging="283"/>
        <w:rPr>
          <w:rFonts w:ascii="Times New Roman" w:hAnsi="Times New Roman" w:cs="Times New Roman"/>
          <w:sz w:val="24"/>
          <w:szCs w:val="24"/>
          <w:lang w:val="tr-TR"/>
        </w:rPr>
      </w:pPr>
    </w:p>
    <w:p w14:paraId="02EFF6CE" w14:textId="77777777" w:rsidR="00260B67" w:rsidRPr="00260B67" w:rsidRDefault="00260B67" w:rsidP="00260B67">
      <w:pPr>
        <w:numPr>
          <w:ilvl w:val="12"/>
          <w:numId w:val="0"/>
        </w:numPr>
        <w:tabs>
          <w:tab w:val="right" w:pos="6096"/>
        </w:tabs>
        <w:rPr>
          <w:rFonts w:ascii="Times New Roman" w:hAnsi="Times New Roman" w:cs="Times New Roman"/>
          <w:b/>
          <w:sz w:val="24"/>
          <w:szCs w:val="24"/>
          <w:lang w:val="tr-TR"/>
        </w:rPr>
      </w:pPr>
      <w:r w:rsidRPr="00260B67">
        <w:rPr>
          <w:rFonts w:ascii="Times New Roman" w:hAnsi="Times New Roman" w:cs="Times New Roman"/>
          <w:b/>
          <w:sz w:val="24"/>
          <w:szCs w:val="24"/>
          <w:lang w:val="tr-TR"/>
        </w:rPr>
        <w:t>BORSA İSTANBUL A.Ş.</w:t>
      </w:r>
    </w:p>
    <w:p w14:paraId="4ADBF03D" w14:textId="77777777" w:rsidR="00260B67" w:rsidRPr="00260B67" w:rsidRDefault="00260B67" w:rsidP="00260B67">
      <w:pPr>
        <w:numPr>
          <w:ilvl w:val="12"/>
          <w:numId w:val="0"/>
        </w:numPr>
        <w:tabs>
          <w:tab w:val="right" w:pos="6096"/>
        </w:tabs>
        <w:rPr>
          <w:rFonts w:ascii="Times New Roman" w:hAnsi="Times New Roman" w:cs="Times New Roman"/>
          <w:b/>
          <w:sz w:val="24"/>
          <w:szCs w:val="24"/>
          <w:lang w:val="tr-TR"/>
        </w:rPr>
      </w:pPr>
      <w:r w:rsidRPr="00260B67">
        <w:rPr>
          <w:rFonts w:ascii="Times New Roman" w:hAnsi="Times New Roman" w:cs="Times New Roman"/>
          <w:b/>
          <w:sz w:val="24"/>
          <w:szCs w:val="24"/>
          <w:lang w:val="tr-TR"/>
        </w:rPr>
        <w:t>GENEL MÜDÜRLÜĞÜNE</w:t>
      </w:r>
    </w:p>
    <w:p w14:paraId="729C1EDD" w14:textId="77777777" w:rsidR="00260B67" w:rsidRPr="00260B67" w:rsidRDefault="00260B67" w:rsidP="00260B67">
      <w:pPr>
        <w:numPr>
          <w:ilvl w:val="12"/>
          <w:numId w:val="0"/>
        </w:numPr>
        <w:tabs>
          <w:tab w:val="right" w:pos="6096"/>
        </w:tabs>
        <w:ind w:left="283"/>
        <w:jc w:val="right"/>
        <w:rPr>
          <w:rFonts w:ascii="Times New Roman" w:hAnsi="Times New Roman" w:cs="Times New Roman"/>
          <w:b/>
          <w:sz w:val="24"/>
          <w:szCs w:val="24"/>
          <w:lang w:val="tr-TR"/>
        </w:rPr>
      </w:pPr>
      <w:r w:rsidRPr="00260B67">
        <w:rPr>
          <w:rFonts w:ascii="Times New Roman" w:hAnsi="Times New Roman" w:cs="Times New Roman"/>
          <w:b/>
          <w:sz w:val="24"/>
          <w:szCs w:val="24"/>
          <w:lang w:val="tr-TR"/>
        </w:rPr>
        <w:t>İstanbul, ..… / ….. / ...……</w:t>
      </w:r>
    </w:p>
    <w:p w14:paraId="6A58F8CC" w14:textId="77777777" w:rsidR="00260B67" w:rsidRPr="00260B67" w:rsidRDefault="00260B67" w:rsidP="00260B67">
      <w:pPr>
        <w:numPr>
          <w:ilvl w:val="12"/>
          <w:numId w:val="0"/>
        </w:numPr>
        <w:ind w:left="283"/>
        <w:jc w:val="right"/>
        <w:rPr>
          <w:rFonts w:ascii="Times New Roman" w:hAnsi="Times New Roman" w:cs="Times New Roman"/>
          <w:b/>
          <w:sz w:val="24"/>
          <w:szCs w:val="24"/>
          <w:lang w:val="tr-TR"/>
        </w:rPr>
      </w:pPr>
    </w:p>
    <w:p w14:paraId="724D9554" w14:textId="77777777" w:rsidR="00260B67" w:rsidRPr="00260B67" w:rsidRDefault="00260B67" w:rsidP="00260B67">
      <w:pPr>
        <w:pStyle w:val="BodyTextIndent2"/>
        <w:ind w:firstLine="0"/>
        <w:rPr>
          <w:szCs w:val="24"/>
          <w:lang w:val="tr-TR"/>
        </w:rPr>
      </w:pPr>
      <w:r w:rsidRPr="00260B67">
        <w:rPr>
          <w:szCs w:val="24"/>
          <w:lang w:val="tr-TR"/>
        </w:rPr>
        <w:t>Borsa İstanbul A.Ş. (bundan sonra Borsa olarak adlandırılacaktır) Pay Piyasası Pazarlarında (bundan sonra Pazar olarak adlandırılacaktır) piyasa yapıcılık faaliyetinde bulunmaya yetkili Borsa Üyesi olarak;</w:t>
      </w:r>
    </w:p>
    <w:p w14:paraId="2566B4F3" w14:textId="77777777" w:rsidR="00260B67" w:rsidRPr="00260B67" w:rsidRDefault="00260B67" w:rsidP="00260B67">
      <w:pPr>
        <w:pStyle w:val="Footer"/>
        <w:numPr>
          <w:ilvl w:val="12"/>
          <w:numId w:val="0"/>
        </w:numPr>
        <w:tabs>
          <w:tab w:val="clear" w:pos="4153"/>
          <w:tab w:val="clear" w:pos="8306"/>
        </w:tabs>
        <w:ind w:left="283" w:hanging="283"/>
        <w:rPr>
          <w:szCs w:val="24"/>
          <w:lang w:val="tr-TR"/>
        </w:rPr>
      </w:pPr>
    </w:p>
    <w:p w14:paraId="70388473" w14:textId="77777777" w:rsidR="00260B67" w:rsidRPr="00260B67" w:rsidRDefault="00260B67" w:rsidP="00260B67">
      <w:pPr>
        <w:pStyle w:val="BodyText"/>
        <w:numPr>
          <w:ilvl w:val="0"/>
          <w:numId w:val="2"/>
        </w:numPr>
        <w:spacing w:before="120" w:after="120"/>
        <w:ind w:left="397" w:hanging="397"/>
        <w:rPr>
          <w:szCs w:val="24"/>
          <w:lang w:val="tr-TR"/>
        </w:rPr>
      </w:pPr>
      <w:r w:rsidRPr="00260B67">
        <w:rPr>
          <w:szCs w:val="24"/>
          <w:lang w:val="tr-TR"/>
        </w:rPr>
        <w:t>Pazarda gerçekleştirilecek işlemler ile ilgili olarak Sermaye Piyasası Kurulu’nun (bundan sonra SPK olarak adlandırılacaktır) ve Borsanın her türlü düzenleme, denetim ve gözetim yetkisine sahip olduğunu ve işbu Taahhütnamenin imzalanmasından önce yapılmış ve sonra yapılacak olan tüm düzenleme ve değişikliklere uyacağımızı,</w:t>
      </w:r>
    </w:p>
    <w:p w14:paraId="433E1621" w14:textId="77777777" w:rsidR="00260B67" w:rsidRPr="00260B67" w:rsidRDefault="00260B67" w:rsidP="00260B67">
      <w:pPr>
        <w:pStyle w:val="BodyTextIndent"/>
        <w:numPr>
          <w:ilvl w:val="0"/>
          <w:numId w:val="2"/>
        </w:numPr>
        <w:spacing w:before="120" w:after="120"/>
        <w:ind w:left="397" w:hanging="397"/>
        <w:rPr>
          <w:szCs w:val="24"/>
          <w:lang w:val="tr-TR"/>
        </w:rPr>
      </w:pPr>
      <w:r w:rsidRPr="00260B67">
        <w:rPr>
          <w:szCs w:val="24"/>
          <w:lang w:val="tr-TR"/>
        </w:rPr>
        <w:t>SPK’nın ve Borsanın ilgili düzenlemelerinde öngörülen mali ve diğer yükümlülükleri süresi içinde yerine getireceğimizi,</w:t>
      </w:r>
    </w:p>
    <w:p w14:paraId="3FE3CE9F"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Piyasa yapıcı olarak gerçekleştirilen işlemler nedeniyle temerrüt oluşması durumunda ilgili mevzuatta temerrüde ilişkin olarak yer verilen hükümlerin uygulanacağını,</w:t>
      </w:r>
    </w:p>
    <w:p w14:paraId="217A936A"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Pazar işlemleriyle ilgili her tür inceleme için SPK ve Borsa tarafından görevlendirilenlere tüm kolaylığı göstereceğimizi ve yardımda bulunacağımızı, istenecek her türlü bilgi ve belgeleri süresi içinde vereceğimizi,</w:t>
      </w:r>
    </w:p>
    <w:p w14:paraId="76760154"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Pazar işlemlerine ilişkin kayıtları eksiksiz tutacağımızı,</w:t>
      </w:r>
    </w:p>
    <w:p w14:paraId="281DD9B8"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Olağandışı pazar koşullarında gerekebilecek ek personel istihdam edecek yapıya ve Borsa tarafından talep edilen teknik sistem ve donanıma sahip olduğumuzu, istenilen yenilemeleri yapacağımızı,</w:t>
      </w:r>
    </w:p>
    <w:p w14:paraId="1C363865"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SPK ve/veya Borsa tarafından belirlenen limitlerin aşılması durumunda SPK ve/veya Borsa tarafından yapılacak düzenlemelere uygun olarak gerekli teminatları sağlayacağımızı,</w:t>
      </w:r>
    </w:p>
    <w:p w14:paraId="671E3848"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İşlem ön koşulu olarak ilave teminat belirlenmesi durumunda bu teminatların verilen süre içinde yatırılacağını, eksilen teminatların belirlenen süre içinde tamamlanacağını, bu hususlarda Borsa Yönetim Kurulu ve/veya SPK tarafından alınan kararlara uyulacağını, belirlenen işlem limitlerine uygun teminatlar ile gerektiğinde ilave teminatların süresi içerisinde yatırılacağını,</w:t>
      </w:r>
    </w:p>
    <w:p w14:paraId="0D6207D6"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Piyasa yapıcılığı yetkisine sahip olmak için Borsaca belirlenen asgari niteliklerden herhangi birini kaybetmemiz hâlinde durumu ivedilikle Borsaya bildireceğimizi,</w:t>
      </w:r>
    </w:p>
    <w:p w14:paraId="04D362E1"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Borsanın piyasa yapıcılığı yetkimizi düzenlemeler kapsamında geçici veya sürekli olarak iptal edebileceğini,</w:t>
      </w:r>
    </w:p>
    <w:p w14:paraId="3C8505D0"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lastRenderedPageBreak/>
        <w:t>Piyasa yapıcılık faaliyetinde bulunmaya yetkili Borsa üyeliğine ilişkin yükümlülüklerin yerine getirilmesini engelleyici nitelikte gerçekleşmiş ya da gerçekleşmesi muhtemel mali problemleri Borsaya ivedilikle bildireceğimizi,</w:t>
      </w:r>
    </w:p>
    <w:p w14:paraId="563CDF9E"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Alım-satım emirlerinin sisteme girişi, eşleştirilmesi ile emir ve işlem bilgilerinin gösterilmesine ilişkin olarak Borsa Yönetim Kurulu tarafından belirlenen ve aşağıda belirtilen işlevsel sorumlulukları SPK ve Borsa düzenlemelerine uygun olarak yapacağımızı,</w:t>
      </w:r>
    </w:p>
    <w:p w14:paraId="785B8F2E" w14:textId="77777777" w:rsidR="00260B67" w:rsidRPr="00260B67" w:rsidRDefault="00260B67" w:rsidP="00260B67">
      <w:pPr>
        <w:ind w:left="426" w:hanging="426"/>
        <w:rPr>
          <w:rFonts w:ascii="Times New Roman" w:hAnsi="Times New Roman" w:cs="Times New Roman"/>
          <w:sz w:val="24"/>
          <w:szCs w:val="24"/>
          <w:lang w:val="tr-TR"/>
        </w:rPr>
      </w:pPr>
    </w:p>
    <w:p w14:paraId="6B90CF4B" w14:textId="77777777" w:rsidR="00260B67" w:rsidRPr="00260B67" w:rsidRDefault="00260B67" w:rsidP="00260B67">
      <w:pPr>
        <w:numPr>
          <w:ilvl w:val="0"/>
          <w:numId w:val="1"/>
        </w:numPr>
        <w:tabs>
          <w:tab w:val="clear" w:pos="360"/>
          <w:tab w:val="num" w:pos="993"/>
        </w:tabs>
        <w:spacing w:after="120" w:line="240" w:lineRule="auto"/>
        <w:ind w:left="709" w:hanging="284"/>
        <w:jc w:val="both"/>
        <w:rPr>
          <w:rFonts w:ascii="Times New Roman" w:hAnsi="Times New Roman" w:cs="Times New Roman"/>
          <w:sz w:val="24"/>
          <w:szCs w:val="24"/>
          <w:lang w:val="tr-TR"/>
        </w:rPr>
      </w:pPr>
      <w:r w:rsidRPr="00260B67">
        <w:rPr>
          <w:rFonts w:ascii="Times New Roman" w:hAnsi="Times New Roman" w:cs="Times New Roman"/>
          <w:sz w:val="24"/>
          <w:szCs w:val="24"/>
          <w:lang w:val="tr-TR"/>
        </w:rPr>
        <w:t>Mali kaynaklar ile tutarlı bir şekilde kendi nam ve hesabına işlem yapmak,</w:t>
      </w:r>
    </w:p>
    <w:p w14:paraId="2D6D6C8E" w14:textId="77777777" w:rsidR="00260B67" w:rsidRPr="00260B67" w:rsidRDefault="00260B67" w:rsidP="00260B67">
      <w:pPr>
        <w:numPr>
          <w:ilvl w:val="0"/>
          <w:numId w:val="1"/>
        </w:numPr>
        <w:tabs>
          <w:tab w:val="clear" w:pos="360"/>
          <w:tab w:val="num" w:pos="993"/>
        </w:tabs>
        <w:spacing w:after="120" w:line="240" w:lineRule="auto"/>
        <w:ind w:left="709" w:hanging="284"/>
        <w:jc w:val="both"/>
        <w:rPr>
          <w:rFonts w:ascii="Times New Roman" w:hAnsi="Times New Roman" w:cs="Times New Roman"/>
          <w:sz w:val="24"/>
          <w:szCs w:val="24"/>
          <w:lang w:val="tr-TR"/>
        </w:rPr>
      </w:pPr>
      <w:r w:rsidRPr="00260B67">
        <w:rPr>
          <w:rFonts w:ascii="Times New Roman" w:hAnsi="Times New Roman" w:cs="Times New Roman"/>
          <w:sz w:val="24"/>
          <w:szCs w:val="24"/>
          <w:lang w:val="tr-TR"/>
        </w:rPr>
        <w:t>Borsa düzenlemelerine uygun olarak sürekli ve tek/çift taraflı kotasyon vermek,</w:t>
      </w:r>
    </w:p>
    <w:p w14:paraId="59EA443F" w14:textId="77777777" w:rsidR="00260B67" w:rsidRPr="00260B67" w:rsidRDefault="00260B67" w:rsidP="00260B67">
      <w:pPr>
        <w:numPr>
          <w:ilvl w:val="0"/>
          <w:numId w:val="1"/>
        </w:numPr>
        <w:tabs>
          <w:tab w:val="clear" w:pos="360"/>
          <w:tab w:val="num" w:pos="993"/>
        </w:tabs>
        <w:spacing w:after="120" w:line="240" w:lineRule="auto"/>
        <w:ind w:left="709" w:hanging="284"/>
        <w:jc w:val="both"/>
        <w:rPr>
          <w:rFonts w:ascii="Times New Roman" w:hAnsi="Times New Roman" w:cs="Times New Roman"/>
          <w:sz w:val="24"/>
          <w:szCs w:val="24"/>
          <w:lang w:val="tr-TR"/>
        </w:rPr>
      </w:pPr>
      <w:r w:rsidRPr="00260B67">
        <w:rPr>
          <w:rFonts w:ascii="Times New Roman" w:hAnsi="Times New Roman" w:cs="Times New Roman"/>
          <w:sz w:val="24"/>
          <w:szCs w:val="24"/>
          <w:lang w:val="tr-TR"/>
        </w:rPr>
        <w:t>Makul bir derinlikte fiyat sürekliliği sağlamak,</w:t>
      </w:r>
    </w:p>
    <w:p w14:paraId="0B491BBA" w14:textId="77777777" w:rsidR="00260B67" w:rsidRPr="00260B67" w:rsidRDefault="00260B67" w:rsidP="00260B67">
      <w:pPr>
        <w:numPr>
          <w:ilvl w:val="0"/>
          <w:numId w:val="1"/>
        </w:numPr>
        <w:tabs>
          <w:tab w:val="clear" w:pos="360"/>
          <w:tab w:val="num" w:pos="993"/>
        </w:tabs>
        <w:spacing w:after="120" w:line="240" w:lineRule="auto"/>
        <w:ind w:left="709" w:hanging="284"/>
        <w:jc w:val="both"/>
        <w:rPr>
          <w:rFonts w:ascii="Times New Roman" w:hAnsi="Times New Roman" w:cs="Times New Roman"/>
          <w:sz w:val="24"/>
          <w:szCs w:val="24"/>
          <w:lang w:val="tr-TR"/>
        </w:rPr>
      </w:pPr>
      <w:r w:rsidRPr="00260B67">
        <w:rPr>
          <w:rFonts w:ascii="Times New Roman" w:hAnsi="Times New Roman" w:cs="Times New Roman"/>
          <w:sz w:val="24"/>
          <w:szCs w:val="24"/>
          <w:lang w:val="tr-TR"/>
        </w:rPr>
        <w:t>Emir dengesizliklerini en aza indirmeye çalışmak,</w:t>
      </w:r>
    </w:p>
    <w:p w14:paraId="0EB96532" w14:textId="77777777" w:rsidR="00260B67" w:rsidRPr="00260B67" w:rsidRDefault="00260B67" w:rsidP="00260B67">
      <w:pPr>
        <w:numPr>
          <w:ilvl w:val="0"/>
          <w:numId w:val="1"/>
        </w:numPr>
        <w:tabs>
          <w:tab w:val="clear" w:pos="360"/>
          <w:tab w:val="num" w:pos="993"/>
        </w:tabs>
        <w:spacing w:after="120" w:line="240" w:lineRule="auto"/>
        <w:ind w:left="709" w:hanging="284"/>
        <w:jc w:val="both"/>
        <w:rPr>
          <w:rFonts w:ascii="Times New Roman" w:hAnsi="Times New Roman" w:cs="Times New Roman"/>
          <w:sz w:val="24"/>
          <w:szCs w:val="24"/>
          <w:lang w:val="tr-TR"/>
        </w:rPr>
      </w:pPr>
      <w:r w:rsidRPr="00260B67">
        <w:rPr>
          <w:rFonts w:ascii="Times New Roman" w:hAnsi="Times New Roman" w:cs="Times New Roman"/>
          <w:sz w:val="24"/>
          <w:szCs w:val="24"/>
          <w:lang w:val="tr-TR"/>
        </w:rPr>
        <w:t>İşlemden işleme fiyat değişimlerini en az, işlem hacmini ise mevzuata uygun surette en çok yapmaya çalışmak,</w:t>
      </w:r>
    </w:p>
    <w:p w14:paraId="796BF299" w14:textId="77777777" w:rsidR="00260B67" w:rsidRPr="00260B67" w:rsidRDefault="00260B67" w:rsidP="00260B67">
      <w:pPr>
        <w:numPr>
          <w:ilvl w:val="0"/>
          <w:numId w:val="1"/>
        </w:numPr>
        <w:tabs>
          <w:tab w:val="clear" w:pos="360"/>
          <w:tab w:val="num" w:pos="993"/>
        </w:tabs>
        <w:spacing w:after="120" w:line="240" w:lineRule="auto"/>
        <w:ind w:left="709" w:hanging="284"/>
        <w:jc w:val="both"/>
        <w:rPr>
          <w:rFonts w:ascii="Times New Roman" w:hAnsi="Times New Roman" w:cs="Times New Roman"/>
          <w:sz w:val="24"/>
          <w:szCs w:val="24"/>
          <w:lang w:val="tr-TR"/>
        </w:rPr>
      </w:pPr>
      <w:r w:rsidRPr="00260B67">
        <w:rPr>
          <w:rFonts w:ascii="Times New Roman" w:hAnsi="Times New Roman" w:cs="Times New Roman"/>
          <w:sz w:val="24"/>
          <w:szCs w:val="24"/>
          <w:lang w:val="tr-TR"/>
        </w:rPr>
        <w:t>Sorumlu olduğumuz menkul kıymetin piyasasının mevzuata uygun dürüst, düzenli ve etkin çalışmasını sağlamak ve likiditeye katkıda bulunmak amacıyla faaliyette bulunmak,</w:t>
      </w:r>
    </w:p>
    <w:p w14:paraId="3D46C3B4" w14:textId="77777777" w:rsidR="00260B67" w:rsidRPr="00260B67" w:rsidRDefault="00260B67" w:rsidP="00260B67">
      <w:pPr>
        <w:rPr>
          <w:rFonts w:ascii="Times New Roman" w:hAnsi="Times New Roman" w:cs="Times New Roman"/>
          <w:sz w:val="24"/>
          <w:szCs w:val="24"/>
          <w:lang w:val="tr-TR"/>
        </w:rPr>
      </w:pPr>
    </w:p>
    <w:p w14:paraId="5ECEAE6D" w14:textId="4E56A854"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Bir piyasa yapıcının birden fazla menkul kıymette piyasa yapıcısı olarak atanabileceğini, Borsa Yönetim Kurulunun piyasa yapıcı üyenin piyasa yapıcılık faaliyetinde bulunabileceği menkul kıymet sayısına sınırlama getirebileceğini,</w:t>
      </w:r>
    </w:p>
    <w:p w14:paraId="3A0663DD"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Pazarda alım-satım yapmaya yetkili temsilcilerimizin gerek üçüncü şahıslara gerekse şirketimizce istihdam edilmiş ve/veya edilecek yetkili ya da yetkisiz temsilcilerine rızası dışında da olsa şifre devretmesi veya kullandırılması sonucu kotasyon girişi ve kotasyon değişikliği, emir girişi, emir iptali ve emir değişikliği, işlem gerçekleştirilmesi, işlem değişikliği ve işlem iptali gibi pazarda yapılan işlemler nedeni ile ortaya çıkacak hukuki, cezai ve/veya mali sorumluluğun müşterek ve müteselsil olarak şirketimize ait olduğunu,</w:t>
      </w:r>
    </w:p>
    <w:p w14:paraId="2231EE14"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Pazarda gerçekleştirilecek işlemlerle ilgili doğabilecek herhangi bir ihtilaf hâlinde Borsa kayıtlarının geçerli ve ilgili hukuki düzenlemeler uyarınca kesin delil niteliğinde olacağını,</w:t>
      </w:r>
    </w:p>
    <w:p w14:paraId="7087321B"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Pazar ile ilgili gerçekleştirilen tüm işlemler için Sermaye Piyasası ve Borsa mevzuatı yanında Borsanın bu konudaki düzenlemelerinin, yetkili organların karar ve bildirimleri ile bu Taahhütname şartlarının geçerli olduğunu,</w:t>
      </w:r>
    </w:p>
    <w:p w14:paraId="0D9A2288"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Piyasa yapıcılığımızın talebimiz üzerine sona ermesi dışında, işbu Taahhütnameyi ve mevzuat hükümlerini herhangi bir şekilde ihlal ettiğimiz takdirde ya da piyasa yapıcılık için belirlenen şartları yitirmemiz hâlinde piyasa yapıcılığımızın Borsanın yapacağı ihbar ile tek taraflı olarak iptal edilebileceğini, ayrıca bu tür fiillerimiz nedeni ile Borsanın, yatırımcıların ve 3. şahısların uğrayacakları zararlardan dolayı münhasıran ve tek başına sorumlu olacağımızı;</w:t>
      </w:r>
    </w:p>
    <w:p w14:paraId="6D2B8475"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 xml:space="preserve">Faaliyetlerimizin SPK tarafından durdurulması, yetki belgelerimizin iptal edilmesi ve/veya bir başka kurum tarafından devralınma, satın alınma ya da birleşme sonucu başka bir tüzel kişiye dönüşmeye neden olan bir işleme taraf olunması durumunda </w:t>
      </w:r>
      <w:r w:rsidRPr="00260B67">
        <w:rPr>
          <w:szCs w:val="24"/>
          <w:lang w:val="tr-TR"/>
        </w:rPr>
        <w:lastRenderedPageBreak/>
        <w:t>piyasa yapıcılığı durumunun devamının Borsa Yönetim Kurulu tarafından belirleneceğini,</w:t>
      </w:r>
    </w:p>
    <w:p w14:paraId="39858087" w14:textId="77777777" w:rsidR="00260B67" w:rsidRPr="00260B67" w:rsidRDefault="00260B67" w:rsidP="00260B67">
      <w:pPr>
        <w:pStyle w:val="ListParagraph"/>
        <w:numPr>
          <w:ilvl w:val="0"/>
          <w:numId w:val="2"/>
        </w:numPr>
        <w:spacing w:before="120" w:after="120"/>
        <w:ind w:left="397" w:hanging="397"/>
        <w:contextualSpacing w:val="0"/>
        <w:rPr>
          <w:szCs w:val="24"/>
          <w:lang w:val="tr-TR"/>
        </w:rPr>
      </w:pPr>
      <w:r w:rsidRPr="00260B67">
        <w:rPr>
          <w:szCs w:val="24"/>
          <w:lang w:val="tr-TR"/>
        </w:rPr>
        <w:t>İşbu Taahhütname şartlarının SPK ve Borsa tarafından çıkartılmış olan her türlü mevzuat ve benzeri tüm düzenleme hükümleri çerçevesinde uygulanacağını, SPK ve Borsa Yönetim Kurulunun söz konusu hükümler ve şartları yorumlamaya, açıklık bulunmayan hususlarda genel hükümleri de göz önünde bulundurarak karar vermeye, uygulamayı düzenlemeye ve yönlendirmeye yetkili olduğunu</w:t>
      </w:r>
    </w:p>
    <w:p w14:paraId="51A096FB" w14:textId="77777777" w:rsidR="00260B67" w:rsidRPr="00260B67" w:rsidRDefault="00260B67" w:rsidP="00260B67">
      <w:pPr>
        <w:rPr>
          <w:rFonts w:ascii="Times New Roman" w:hAnsi="Times New Roman" w:cs="Times New Roman"/>
          <w:sz w:val="24"/>
          <w:szCs w:val="24"/>
          <w:lang w:val="tr-TR"/>
        </w:rPr>
      </w:pPr>
    </w:p>
    <w:p w14:paraId="18CCF028" w14:textId="77777777" w:rsidR="00260B67" w:rsidRPr="00260B67" w:rsidRDefault="00260B67" w:rsidP="00260B67">
      <w:pPr>
        <w:rPr>
          <w:rFonts w:ascii="Times New Roman" w:hAnsi="Times New Roman" w:cs="Times New Roman"/>
          <w:sz w:val="24"/>
          <w:szCs w:val="24"/>
          <w:lang w:val="tr-TR"/>
        </w:rPr>
      </w:pPr>
      <w:r w:rsidRPr="00260B67">
        <w:rPr>
          <w:rFonts w:ascii="Times New Roman" w:hAnsi="Times New Roman" w:cs="Times New Roman"/>
          <w:sz w:val="24"/>
          <w:szCs w:val="24"/>
          <w:lang w:val="tr-TR"/>
        </w:rPr>
        <w:t>kayıtsız, şartsız ve piyasa yapıcılık statüsü devam ettiği sürece gayri kabil-i rücu kabul, beyan ve taahhüt ederiz.</w:t>
      </w:r>
    </w:p>
    <w:p w14:paraId="0925E143" w14:textId="77777777" w:rsidR="00260B67" w:rsidRPr="00260B67" w:rsidRDefault="00260B67" w:rsidP="00260B67">
      <w:pPr>
        <w:rPr>
          <w:rFonts w:ascii="Times New Roman" w:hAnsi="Times New Roman" w:cs="Times New Roman"/>
          <w:sz w:val="24"/>
          <w:szCs w:val="24"/>
          <w:lang w:val="tr-TR"/>
        </w:rPr>
      </w:pPr>
    </w:p>
    <w:p w14:paraId="0D3F79B2" w14:textId="77777777" w:rsidR="00260B67" w:rsidRPr="00260B67" w:rsidRDefault="00260B67" w:rsidP="00260B67">
      <w:pPr>
        <w:rPr>
          <w:rFonts w:ascii="Times New Roman" w:hAnsi="Times New Roman" w:cs="Times New Roman"/>
          <w:sz w:val="24"/>
          <w:szCs w:val="24"/>
          <w:lang w:val="tr-TR"/>
        </w:rPr>
      </w:pPr>
    </w:p>
    <w:p w14:paraId="572C5789" w14:textId="77777777" w:rsidR="00260B67" w:rsidRPr="00260B67" w:rsidRDefault="00260B67" w:rsidP="00260B67">
      <w:pPr>
        <w:rPr>
          <w:rFonts w:ascii="Times New Roman" w:hAnsi="Times New Roman" w:cs="Times New Roman"/>
          <w:sz w:val="24"/>
          <w:szCs w:val="24"/>
          <w:lang w:val="tr-TR"/>
        </w:rPr>
      </w:pPr>
    </w:p>
    <w:p w14:paraId="5B27139C" w14:textId="77777777" w:rsidR="00260B67" w:rsidRPr="00260B67" w:rsidRDefault="00260B67" w:rsidP="00260B67">
      <w:pPr>
        <w:rPr>
          <w:rFonts w:ascii="Times New Roman" w:hAnsi="Times New Roman" w:cs="Times New Roman"/>
          <w:sz w:val="24"/>
          <w:szCs w:val="24"/>
          <w:lang w:val="tr-TR"/>
        </w:rPr>
      </w:pPr>
    </w:p>
    <w:p w14:paraId="052836A5" w14:textId="77777777" w:rsidR="00260B67" w:rsidRPr="00260B67" w:rsidRDefault="00260B67" w:rsidP="00260B67">
      <w:pPr>
        <w:numPr>
          <w:ilvl w:val="12"/>
          <w:numId w:val="0"/>
        </w:numPr>
        <w:tabs>
          <w:tab w:val="center" w:pos="1418"/>
          <w:tab w:val="center" w:pos="4253"/>
        </w:tabs>
        <w:rPr>
          <w:rFonts w:ascii="Times New Roman" w:hAnsi="Times New Roman" w:cs="Times New Roman"/>
          <w:sz w:val="24"/>
          <w:szCs w:val="24"/>
          <w:lang w:val="tr-TR"/>
        </w:rPr>
      </w:pPr>
    </w:p>
    <w:p w14:paraId="72C50BCA" w14:textId="77777777" w:rsidR="00260B67" w:rsidRPr="00260B67" w:rsidRDefault="00260B67" w:rsidP="00260B67">
      <w:pPr>
        <w:numPr>
          <w:ilvl w:val="12"/>
          <w:numId w:val="0"/>
        </w:numPr>
        <w:tabs>
          <w:tab w:val="center" w:pos="1418"/>
          <w:tab w:val="center" w:pos="4253"/>
        </w:tabs>
        <w:ind w:left="283" w:hanging="283"/>
        <w:rPr>
          <w:rFonts w:ascii="Times New Roman" w:hAnsi="Times New Roman" w:cs="Times New Roman"/>
          <w:b/>
          <w:sz w:val="24"/>
          <w:szCs w:val="24"/>
          <w:lang w:val="tr-TR"/>
        </w:rPr>
      </w:pPr>
    </w:p>
    <w:p w14:paraId="0C6238E6" w14:textId="77777777" w:rsidR="00260B67" w:rsidRPr="00260B67" w:rsidRDefault="00260B67" w:rsidP="00260B67">
      <w:pPr>
        <w:numPr>
          <w:ilvl w:val="12"/>
          <w:numId w:val="0"/>
        </w:numPr>
        <w:tabs>
          <w:tab w:val="center" w:pos="1418"/>
          <w:tab w:val="center" w:pos="4253"/>
        </w:tabs>
        <w:ind w:left="283" w:hanging="283"/>
        <w:rPr>
          <w:rFonts w:ascii="Times New Roman" w:hAnsi="Times New Roman" w:cs="Times New Roman"/>
          <w:b/>
          <w:sz w:val="24"/>
          <w:szCs w:val="24"/>
          <w:lang w:val="tr-TR"/>
        </w:rPr>
      </w:pPr>
    </w:p>
    <w:p w14:paraId="2F2D946A" w14:textId="77777777" w:rsidR="00260B67" w:rsidRPr="00260B67" w:rsidRDefault="00260B67" w:rsidP="00260B67">
      <w:pPr>
        <w:numPr>
          <w:ilvl w:val="12"/>
          <w:numId w:val="0"/>
        </w:numPr>
        <w:rPr>
          <w:rFonts w:ascii="Times New Roman" w:hAnsi="Times New Roman" w:cs="Times New Roman"/>
          <w:b/>
          <w:sz w:val="24"/>
          <w:szCs w:val="24"/>
          <w:lang w:val="tr-TR"/>
        </w:rPr>
      </w:pPr>
    </w:p>
    <w:p w14:paraId="02A37D94" w14:textId="77777777" w:rsidR="00260B67" w:rsidRPr="00260B67" w:rsidRDefault="00260B67" w:rsidP="00260B67">
      <w:pPr>
        <w:numPr>
          <w:ilvl w:val="12"/>
          <w:numId w:val="0"/>
        </w:numPr>
        <w:tabs>
          <w:tab w:val="center" w:pos="1418"/>
          <w:tab w:val="center" w:pos="4253"/>
        </w:tabs>
        <w:spacing w:before="120" w:after="120"/>
        <w:ind w:left="284" w:hanging="284"/>
        <w:jc w:val="center"/>
        <w:rPr>
          <w:rFonts w:ascii="Times New Roman" w:hAnsi="Times New Roman" w:cs="Times New Roman"/>
          <w:b/>
          <w:sz w:val="24"/>
          <w:szCs w:val="24"/>
          <w:lang w:val="tr-TR"/>
        </w:rPr>
      </w:pPr>
      <w:r w:rsidRPr="00260B67">
        <w:rPr>
          <w:rFonts w:ascii="Times New Roman" w:hAnsi="Times New Roman" w:cs="Times New Roman"/>
          <w:b/>
          <w:sz w:val="24"/>
          <w:szCs w:val="24"/>
          <w:lang w:val="tr-TR"/>
        </w:rPr>
        <w:t>Piyasa Yapıcı Üyeyi</w:t>
      </w:r>
    </w:p>
    <w:p w14:paraId="55154CCA" w14:textId="77777777" w:rsidR="00260B67" w:rsidRPr="00260B67" w:rsidRDefault="00260B67" w:rsidP="00260B67">
      <w:pPr>
        <w:numPr>
          <w:ilvl w:val="12"/>
          <w:numId w:val="0"/>
        </w:numPr>
        <w:tabs>
          <w:tab w:val="center" w:pos="1418"/>
          <w:tab w:val="center" w:pos="4253"/>
        </w:tabs>
        <w:spacing w:before="120" w:after="120"/>
        <w:ind w:left="284" w:hanging="284"/>
        <w:jc w:val="center"/>
        <w:rPr>
          <w:rFonts w:ascii="Times New Roman" w:hAnsi="Times New Roman" w:cs="Times New Roman"/>
          <w:b/>
          <w:sz w:val="24"/>
          <w:szCs w:val="24"/>
          <w:lang w:val="tr-TR"/>
        </w:rPr>
      </w:pPr>
      <w:r w:rsidRPr="00260B67">
        <w:rPr>
          <w:rFonts w:ascii="Times New Roman" w:hAnsi="Times New Roman" w:cs="Times New Roman"/>
          <w:b/>
          <w:sz w:val="24"/>
          <w:szCs w:val="24"/>
          <w:lang w:val="tr-TR"/>
        </w:rPr>
        <w:t>Temsile Yetkili</w:t>
      </w:r>
    </w:p>
    <w:p w14:paraId="2D2FB9CD" w14:textId="77777777" w:rsidR="00260B67" w:rsidRPr="00260B67" w:rsidRDefault="00260B67" w:rsidP="00260B67">
      <w:pPr>
        <w:numPr>
          <w:ilvl w:val="12"/>
          <w:numId w:val="0"/>
        </w:numPr>
        <w:tabs>
          <w:tab w:val="center" w:pos="1418"/>
          <w:tab w:val="center" w:pos="4253"/>
        </w:tabs>
        <w:spacing w:before="120" w:after="120"/>
        <w:ind w:left="284" w:hanging="284"/>
        <w:jc w:val="center"/>
        <w:rPr>
          <w:rFonts w:ascii="Times New Roman" w:hAnsi="Times New Roman" w:cs="Times New Roman"/>
          <w:b/>
          <w:sz w:val="24"/>
          <w:szCs w:val="24"/>
          <w:lang w:val="tr-TR"/>
        </w:rPr>
      </w:pPr>
      <w:r w:rsidRPr="00260B67">
        <w:rPr>
          <w:rFonts w:ascii="Times New Roman" w:hAnsi="Times New Roman" w:cs="Times New Roman"/>
          <w:b/>
          <w:sz w:val="24"/>
          <w:szCs w:val="24"/>
          <w:lang w:val="tr-TR"/>
        </w:rPr>
        <w:t>Yöneticileri ve İmzaları</w:t>
      </w:r>
    </w:p>
    <w:p w14:paraId="1AF7C4D7" w14:textId="77777777" w:rsidR="00260B67" w:rsidRPr="00260B67" w:rsidRDefault="00260B67" w:rsidP="00260B67">
      <w:pPr>
        <w:numPr>
          <w:ilvl w:val="12"/>
          <w:numId w:val="0"/>
        </w:numPr>
        <w:tabs>
          <w:tab w:val="center" w:pos="1418"/>
          <w:tab w:val="center" w:pos="4253"/>
        </w:tabs>
        <w:ind w:left="283" w:hanging="283"/>
        <w:rPr>
          <w:rFonts w:ascii="Times New Roman" w:hAnsi="Times New Roman" w:cs="Times New Roman"/>
          <w:b/>
          <w:sz w:val="24"/>
          <w:szCs w:val="24"/>
          <w:lang w:val="tr-TR"/>
        </w:rPr>
      </w:pPr>
    </w:p>
    <w:p w14:paraId="2E473E01" w14:textId="77777777" w:rsidR="00260B67" w:rsidRPr="00260B67" w:rsidRDefault="00260B67" w:rsidP="00260B67">
      <w:pPr>
        <w:numPr>
          <w:ilvl w:val="12"/>
          <w:numId w:val="0"/>
        </w:numPr>
        <w:tabs>
          <w:tab w:val="center" w:pos="1418"/>
          <w:tab w:val="center" w:pos="4253"/>
        </w:tabs>
        <w:ind w:left="283" w:hanging="283"/>
        <w:rPr>
          <w:rFonts w:ascii="Times New Roman" w:hAnsi="Times New Roman" w:cs="Times New Roman"/>
          <w:b/>
          <w:sz w:val="24"/>
          <w:szCs w:val="24"/>
          <w:lang w:val="tr-TR"/>
        </w:rPr>
      </w:pPr>
    </w:p>
    <w:p w14:paraId="7E22744A" w14:textId="77777777" w:rsidR="00260B67" w:rsidRPr="00260B67" w:rsidRDefault="00260B67" w:rsidP="00260B67">
      <w:pPr>
        <w:numPr>
          <w:ilvl w:val="12"/>
          <w:numId w:val="0"/>
        </w:numPr>
        <w:tabs>
          <w:tab w:val="center" w:pos="1418"/>
          <w:tab w:val="center" w:pos="4253"/>
        </w:tabs>
        <w:ind w:left="283" w:hanging="283"/>
        <w:rPr>
          <w:rFonts w:ascii="Times New Roman" w:hAnsi="Times New Roman" w:cs="Times New Roman"/>
          <w:b/>
          <w:sz w:val="24"/>
          <w:szCs w:val="24"/>
          <w:lang w:val="tr-TR"/>
        </w:rPr>
      </w:pPr>
    </w:p>
    <w:p w14:paraId="0AD4497A" w14:textId="77777777" w:rsidR="00260B67" w:rsidRPr="00260B67" w:rsidRDefault="00260B67" w:rsidP="00260B67">
      <w:pPr>
        <w:numPr>
          <w:ilvl w:val="12"/>
          <w:numId w:val="0"/>
        </w:numPr>
        <w:ind w:left="283" w:hanging="283"/>
        <w:rPr>
          <w:rFonts w:ascii="Times New Roman" w:hAnsi="Times New Roman" w:cs="Times New Roman"/>
          <w:b/>
          <w:sz w:val="24"/>
          <w:szCs w:val="24"/>
          <w:lang w:val="tr-TR"/>
        </w:rPr>
      </w:pPr>
      <w:r w:rsidRPr="00260B67">
        <w:rPr>
          <w:rFonts w:ascii="Times New Roman" w:hAnsi="Times New Roman" w:cs="Times New Roman"/>
          <w:b/>
          <w:sz w:val="24"/>
          <w:szCs w:val="24"/>
          <w:lang w:val="tr-TR"/>
        </w:rPr>
        <w:t xml:space="preserve"> </w:t>
      </w:r>
    </w:p>
    <w:p w14:paraId="0D1373E9" w14:textId="77777777" w:rsidR="00260B67" w:rsidRPr="00260B67" w:rsidRDefault="00260B67" w:rsidP="00260B67">
      <w:pPr>
        <w:tabs>
          <w:tab w:val="center" w:pos="1418"/>
          <w:tab w:val="center" w:pos="4253"/>
        </w:tabs>
        <w:rPr>
          <w:rFonts w:ascii="Times New Roman" w:hAnsi="Times New Roman" w:cs="Times New Roman"/>
          <w:sz w:val="24"/>
          <w:szCs w:val="24"/>
        </w:rPr>
      </w:pPr>
    </w:p>
    <w:p w14:paraId="1F3C40EC" w14:textId="77777777" w:rsidR="00607ADD" w:rsidRPr="00260B67" w:rsidRDefault="00607ADD">
      <w:pPr>
        <w:rPr>
          <w:rFonts w:ascii="Times New Roman" w:hAnsi="Times New Roman" w:cs="Times New Roman"/>
          <w:sz w:val="24"/>
          <w:szCs w:val="24"/>
        </w:rPr>
      </w:pPr>
    </w:p>
    <w:sectPr w:rsidR="00607ADD" w:rsidRPr="00260B67" w:rsidSect="008550B4">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08" w:footer="708"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D78206" w14:textId="77777777" w:rsidR="00260B67" w:rsidRDefault="00260B67" w:rsidP="00260B67">
      <w:pPr>
        <w:spacing w:after="0" w:line="240" w:lineRule="auto"/>
      </w:pPr>
      <w:r>
        <w:separator/>
      </w:r>
    </w:p>
  </w:endnote>
  <w:endnote w:type="continuationSeparator" w:id="0">
    <w:p w14:paraId="50E8DD1C" w14:textId="77777777" w:rsidR="00260B67" w:rsidRDefault="00260B67" w:rsidP="00260B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30DF4" w14:textId="77777777" w:rsidR="00CA3CC3" w:rsidRDefault="00373B00">
    <w:pPr>
      <w:pStyle w:val="Footer"/>
      <w:framePr w:wrap="around" w:vAnchor="text" w:hAnchor="margin" w:xAlign="right" w:y="1"/>
      <w:numPr>
        <w:ilvl w:val="12"/>
        <w:numId w:val="0"/>
      </w:numPr>
      <w:ind w:left="283" w:hanging="283"/>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136B419B" w14:textId="77777777" w:rsidR="00CA3CC3" w:rsidRDefault="00373B00">
    <w:pPr>
      <w:pStyle w:val="Footer"/>
      <w:numPr>
        <w:ilvl w:val="12"/>
        <w:numId w:val="0"/>
      </w:numPr>
      <w:ind w:left="283" w:right="360" w:hanging="28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F5F5E" w14:textId="77777777" w:rsidR="00CA3CC3" w:rsidRDefault="00373B00">
    <w:pPr>
      <w:pStyle w:val="Footer"/>
      <w:framePr w:wrap="around" w:vAnchor="text" w:hAnchor="margin" w:xAlign="right" w:y="1"/>
      <w:numPr>
        <w:ilvl w:val="12"/>
        <w:numId w:val="0"/>
      </w:numPr>
      <w:ind w:left="283" w:hanging="283"/>
      <w:rPr>
        <w:rStyle w:val="PageNumber"/>
      </w:rPr>
    </w:pPr>
    <w:r>
      <w:rPr>
        <w:rStyle w:val="PageNumber"/>
      </w:rPr>
      <w:t xml:space="preserve"> </w:t>
    </w:r>
  </w:p>
  <w:p w14:paraId="097A6069" w14:textId="77777777" w:rsidR="00CA3CC3" w:rsidRPr="00422A2B" w:rsidRDefault="00373B00" w:rsidP="00422A2B">
    <w:pPr>
      <w:pStyle w:val="Footer"/>
      <w:numPr>
        <w:ilvl w:val="12"/>
        <w:numId w:val="0"/>
      </w:numPr>
      <w:pBdr>
        <w:top w:val="single" w:sz="2" w:space="1" w:color="auto"/>
      </w:pBdr>
      <w:tabs>
        <w:tab w:val="clear" w:pos="4153"/>
        <w:tab w:val="clear" w:pos="8306"/>
      </w:tabs>
      <w:ind w:left="283" w:hanging="283"/>
      <w:jc w:val="right"/>
      <w:rPr>
        <w:i/>
        <w:sz w:val="16"/>
      </w:rPr>
    </w:pPr>
    <w:r w:rsidRPr="008550B4">
      <w:rPr>
        <w:i/>
        <w:sz w:val="16"/>
        <w:lang w:val="tr-TR"/>
      </w:rPr>
      <w:t xml:space="preserve">Sayfa </w:t>
    </w:r>
    <w:r w:rsidRPr="008550B4">
      <w:rPr>
        <w:bCs/>
        <w:i/>
        <w:sz w:val="16"/>
        <w:szCs w:val="24"/>
      </w:rPr>
      <w:fldChar w:fldCharType="begin"/>
    </w:r>
    <w:r w:rsidRPr="008550B4">
      <w:rPr>
        <w:bCs/>
        <w:i/>
        <w:sz w:val="16"/>
      </w:rPr>
      <w:instrText>PAGE</w:instrText>
    </w:r>
    <w:r w:rsidRPr="008550B4">
      <w:rPr>
        <w:bCs/>
        <w:i/>
        <w:sz w:val="16"/>
        <w:szCs w:val="24"/>
      </w:rPr>
      <w:fldChar w:fldCharType="separate"/>
    </w:r>
    <w:r>
      <w:rPr>
        <w:bCs/>
        <w:i/>
        <w:noProof/>
        <w:sz w:val="16"/>
      </w:rPr>
      <w:t>2</w:t>
    </w:r>
    <w:r w:rsidRPr="008550B4">
      <w:rPr>
        <w:bCs/>
        <w:i/>
        <w:sz w:val="16"/>
        <w:szCs w:val="24"/>
      </w:rPr>
      <w:fldChar w:fldCharType="end"/>
    </w:r>
    <w:r w:rsidRPr="008550B4">
      <w:rPr>
        <w:i/>
        <w:sz w:val="16"/>
        <w:lang w:val="tr-TR"/>
      </w:rPr>
      <w:t xml:space="preserve"> / </w:t>
    </w:r>
    <w:r w:rsidRPr="008550B4">
      <w:rPr>
        <w:bCs/>
        <w:i/>
        <w:sz w:val="16"/>
        <w:szCs w:val="24"/>
      </w:rPr>
      <w:fldChar w:fldCharType="begin"/>
    </w:r>
    <w:r w:rsidRPr="008550B4">
      <w:rPr>
        <w:bCs/>
        <w:i/>
        <w:sz w:val="16"/>
      </w:rPr>
      <w:instrText>NUMPAGES</w:instrText>
    </w:r>
    <w:r w:rsidRPr="008550B4">
      <w:rPr>
        <w:bCs/>
        <w:i/>
        <w:sz w:val="16"/>
        <w:szCs w:val="24"/>
      </w:rPr>
      <w:fldChar w:fldCharType="separate"/>
    </w:r>
    <w:r>
      <w:rPr>
        <w:bCs/>
        <w:i/>
        <w:noProof/>
        <w:sz w:val="16"/>
      </w:rPr>
      <w:t>3</w:t>
    </w:r>
    <w:r w:rsidRPr="008550B4">
      <w:rPr>
        <w:bCs/>
        <w:i/>
        <w:sz w:val="16"/>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F56BD" w14:textId="77777777" w:rsidR="008550B4" w:rsidRPr="008550B4" w:rsidRDefault="00373B00" w:rsidP="008550B4">
    <w:pPr>
      <w:pStyle w:val="Footer"/>
      <w:numPr>
        <w:ilvl w:val="12"/>
        <w:numId w:val="0"/>
      </w:numPr>
      <w:pBdr>
        <w:top w:val="single" w:sz="2" w:space="1" w:color="auto"/>
      </w:pBdr>
      <w:ind w:left="283" w:hanging="283"/>
      <w:jc w:val="right"/>
      <w:rPr>
        <w:i/>
        <w:sz w:val="16"/>
      </w:rPr>
    </w:pPr>
    <w:r w:rsidRPr="008550B4">
      <w:rPr>
        <w:i/>
        <w:sz w:val="16"/>
        <w:lang w:val="tr-TR"/>
      </w:rPr>
      <w:t xml:space="preserve">Sayfa </w:t>
    </w:r>
    <w:r w:rsidRPr="008550B4">
      <w:rPr>
        <w:bCs/>
        <w:i/>
        <w:sz w:val="16"/>
        <w:szCs w:val="24"/>
      </w:rPr>
      <w:fldChar w:fldCharType="begin"/>
    </w:r>
    <w:r w:rsidRPr="008550B4">
      <w:rPr>
        <w:bCs/>
        <w:i/>
        <w:sz w:val="16"/>
      </w:rPr>
      <w:instrText>PAGE</w:instrText>
    </w:r>
    <w:r w:rsidRPr="008550B4">
      <w:rPr>
        <w:bCs/>
        <w:i/>
        <w:sz w:val="16"/>
        <w:szCs w:val="24"/>
      </w:rPr>
      <w:fldChar w:fldCharType="separate"/>
    </w:r>
    <w:r>
      <w:rPr>
        <w:bCs/>
        <w:i/>
        <w:noProof/>
        <w:sz w:val="16"/>
      </w:rPr>
      <w:t>1</w:t>
    </w:r>
    <w:r w:rsidRPr="008550B4">
      <w:rPr>
        <w:bCs/>
        <w:i/>
        <w:sz w:val="16"/>
        <w:szCs w:val="24"/>
      </w:rPr>
      <w:fldChar w:fldCharType="end"/>
    </w:r>
    <w:r w:rsidRPr="008550B4">
      <w:rPr>
        <w:i/>
        <w:sz w:val="16"/>
        <w:lang w:val="tr-TR"/>
      </w:rPr>
      <w:t xml:space="preserve"> / </w:t>
    </w:r>
    <w:r w:rsidRPr="008550B4">
      <w:rPr>
        <w:bCs/>
        <w:i/>
        <w:sz w:val="16"/>
        <w:szCs w:val="24"/>
      </w:rPr>
      <w:fldChar w:fldCharType="begin"/>
    </w:r>
    <w:r w:rsidRPr="008550B4">
      <w:rPr>
        <w:bCs/>
        <w:i/>
        <w:sz w:val="16"/>
      </w:rPr>
      <w:instrText>NUMPAGES</w:instrText>
    </w:r>
    <w:r w:rsidRPr="008550B4">
      <w:rPr>
        <w:bCs/>
        <w:i/>
        <w:sz w:val="16"/>
        <w:szCs w:val="24"/>
      </w:rPr>
      <w:fldChar w:fldCharType="separate"/>
    </w:r>
    <w:r>
      <w:rPr>
        <w:bCs/>
        <w:i/>
        <w:noProof/>
        <w:sz w:val="16"/>
      </w:rPr>
      <w:t>3</w:t>
    </w:r>
    <w:r w:rsidRPr="008550B4">
      <w:rPr>
        <w:bCs/>
        <w:i/>
        <w:sz w:val="16"/>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C4FD73" w14:textId="77777777" w:rsidR="00260B67" w:rsidRDefault="00260B67" w:rsidP="00260B67">
      <w:pPr>
        <w:spacing w:after="0" w:line="240" w:lineRule="auto"/>
      </w:pPr>
      <w:r>
        <w:separator/>
      </w:r>
    </w:p>
  </w:footnote>
  <w:footnote w:type="continuationSeparator" w:id="0">
    <w:p w14:paraId="06DB6AD8" w14:textId="77777777" w:rsidR="00260B67" w:rsidRDefault="00260B67" w:rsidP="00260B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27A07" w14:textId="77777777" w:rsidR="00CA3CC3" w:rsidRDefault="00373B00">
    <w:pPr>
      <w:pStyle w:val="Header"/>
      <w:numPr>
        <w:ilvl w:val="12"/>
        <w:numId w:val="0"/>
      </w:numPr>
      <w:ind w:left="283" w:hanging="283"/>
    </w:pPr>
    <w:sdt>
      <w:sdtPr>
        <w:rPr>
          <w:rFonts w:ascii="Arial" w:hAnsi="Arial" w:cs="Arial"/>
          <w:color w:val="000000"/>
        </w:rPr>
        <w:tag w:val="GTBClassification"/>
        <w:id w:val="99538100"/>
        <w:lock w:val="contentLocked"/>
      </w:sdtPr>
      <w:sdtEndPr/>
      <w:sdtContent>
        <w:r>
          <w:rPr>
            <w:b/>
            <w:color w:val="FF0000"/>
            <w:szCs w:val="24"/>
          </w:rPr>
          <w:t>HİZMETE ÖZEL</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C3CB5" w14:textId="584EDF3E" w:rsidR="00CA3CC3" w:rsidRPr="00260B67" w:rsidRDefault="00373B00" w:rsidP="00CA109F">
    <w:pPr>
      <w:numPr>
        <w:ilvl w:val="12"/>
        <w:numId w:val="0"/>
      </w:numPr>
      <w:pBdr>
        <w:bottom w:val="double" w:sz="2" w:space="1" w:color="auto"/>
      </w:pBdr>
      <w:tabs>
        <w:tab w:val="right" w:pos="8335"/>
      </w:tabs>
      <w:rPr>
        <w:rFonts w:ascii="Times New Roman" w:hAnsi="Times New Roman" w:cs="Times New Roman"/>
        <w:i/>
        <w:sz w:val="16"/>
        <w:lang w:val="tr-TR"/>
      </w:rPr>
    </w:pPr>
    <w:r w:rsidRPr="00260B67">
      <w:rPr>
        <w:rFonts w:ascii="Times New Roman" w:hAnsi="Times New Roman" w:cs="Times New Roman"/>
        <w:i/>
        <w:sz w:val="16"/>
        <w:lang w:val="tr-TR"/>
      </w:rPr>
      <w:t xml:space="preserve">Pay Piyasası </w:t>
    </w:r>
    <w:r w:rsidR="00260B67" w:rsidRPr="00260B67">
      <w:rPr>
        <w:rFonts w:ascii="Times New Roman" w:hAnsi="Times New Roman" w:cs="Times New Roman"/>
        <w:i/>
        <w:sz w:val="16"/>
        <w:lang w:val="tr-TR"/>
      </w:rPr>
      <w:t>Direktörlüğü</w:t>
    </w:r>
    <w:r w:rsidRPr="00260B67">
      <w:rPr>
        <w:rFonts w:ascii="Times New Roman" w:hAnsi="Times New Roman" w:cs="Times New Roman"/>
        <w:i/>
        <w:sz w:val="16"/>
        <w:lang w:val="tr-TR"/>
      </w:rPr>
      <w:tab/>
    </w:r>
    <w:r w:rsidRPr="00260B67">
      <w:rPr>
        <w:rFonts w:ascii="Times New Roman" w:hAnsi="Times New Roman" w:cs="Times New Roman"/>
        <w:i/>
        <w:sz w:val="16"/>
        <w:lang w:val="tr-TR"/>
      </w:rPr>
      <w:t>BİAŞ Pay Piyasası Piyasa Yapıcılık Taahhütnamesi</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A09A3" w14:textId="77777777" w:rsidR="008550B4" w:rsidRDefault="00373B00" w:rsidP="008550B4">
    <w:pPr>
      <w:pStyle w:val="Header"/>
      <w:numPr>
        <w:ilvl w:val="12"/>
        <w:numId w:val="0"/>
      </w:numPr>
      <w:ind w:left="283" w:hanging="283"/>
    </w:pPr>
    <w:sdt>
      <w:sdtPr>
        <w:rPr>
          <w:rFonts w:ascii="Arial" w:hAnsi="Arial" w:cs="Arial"/>
          <w:color w:val="000000"/>
        </w:rPr>
        <w:tag w:val="GTBClassification"/>
        <w:id w:val="1108856469"/>
        <w:lock w:val="contentLocked"/>
      </w:sdtPr>
      <w:sdtEndPr/>
      <w:sdtContent>
        <w:r>
          <w:rPr>
            <w:b/>
            <w:color w:val="FF0000"/>
            <w:szCs w:val="24"/>
          </w:rPr>
          <w:t>HİZMETE ÖZEL</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923950"/>
    <w:multiLevelType w:val="hybridMultilevel"/>
    <w:tmpl w:val="01488C82"/>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5E0F2765"/>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B67"/>
    <w:rsid w:val="00260B67"/>
    <w:rsid w:val="00373B00"/>
    <w:rsid w:val="00607ADD"/>
    <w:rsid w:val="00686C39"/>
    <w:rsid w:val="00946693"/>
    <w:rsid w:val="00A314C8"/>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372CE7"/>
  <w15:chartTrackingRefBased/>
  <w15:docId w15:val="{C59BB7ED-1C04-45B0-971B-A05932558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260B67"/>
    <w:pPr>
      <w:keepNext/>
      <w:spacing w:after="0" w:line="240" w:lineRule="auto"/>
      <w:jc w:val="center"/>
      <w:outlineLvl w:val="0"/>
    </w:pPr>
    <w:rPr>
      <w:rFonts w:ascii="Times New Roman" w:eastAsia="Times New Roman" w:hAnsi="Times New Roman" w:cs="Times New Roman"/>
      <w:b/>
      <w:sz w:val="24"/>
      <w:szCs w:val="20"/>
      <w:lang w:val="en-GB"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60B67"/>
    <w:rPr>
      <w:rFonts w:ascii="Times New Roman" w:eastAsia="Times New Roman" w:hAnsi="Times New Roman" w:cs="Times New Roman"/>
      <w:b/>
      <w:sz w:val="24"/>
      <w:szCs w:val="20"/>
      <w:lang w:val="en-GB" w:eastAsia="tr-TR"/>
    </w:rPr>
  </w:style>
  <w:style w:type="paragraph" w:styleId="Footer">
    <w:name w:val="footer"/>
    <w:basedOn w:val="Normal"/>
    <w:link w:val="FooterChar"/>
    <w:uiPriority w:val="99"/>
    <w:rsid w:val="00260B67"/>
    <w:pPr>
      <w:tabs>
        <w:tab w:val="center" w:pos="4153"/>
        <w:tab w:val="right" w:pos="8306"/>
      </w:tabs>
      <w:spacing w:after="0" w:line="240" w:lineRule="auto"/>
      <w:ind w:left="283" w:hanging="283"/>
      <w:jc w:val="both"/>
    </w:pPr>
    <w:rPr>
      <w:rFonts w:ascii="Times New Roman" w:eastAsia="Times New Roman" w:hAnsi="Times New Roman" w:cs="Times New Roman"/>
      <w:sz w:val="24"/>
      <w:szCs w:val="20"/>
      <w:lang w:val="en-GB" w:eastAsia="tr-TR"/>
    </w:rPr>
  </w:style>
  <w:style w:type="character" w:customStyle="1" w:styleId="FooterChar">
    <w:name w:val="Footer Char"/>
    <w:basedOn w:val="DefaultParagraphFont"/>
    <w:link w:val="Footer"/>
    <w:uiPriority w:val="99"/>
    <w:rsid w:val="00260B67"/>
    <w:rPr>
      <w:rFonts w:ascii="Times New Roman" w:eastAsia="Times New Roman" w:hAnsi="Times New Roman" w:cs="Times New Roman"/>
      <w:sz w:val="24"/>
      <w:szCs w:val="20"/>
      <w:lang w:val="en-GB" w:eastAsia="tr-TR"/>
    </w:rPr>
  </w:style>
  <w:style w:type="character" w:styleId="PageNumber">
    <w:name w:val="page number"/>
    <w:basedOn w:val="DefaultParagraphFont"/>
    <w:semiHidden/>
    <w:rsid w:val="00260B67"/>
  </w:style>
  <w:style w:type="paragraph" w:styleId="BodyTextIndent">
    <w:name w:val="Body Text Indent"/>
    <w:basedOn w:val="Normal"/>
    <w:link w:val="BodyTextIndentChar"/>
    <w:semiHidden/>
    <w:rsid w:val="00260B67"/>
    <w:pPr>
      <w:spacing w:after="0" w:line="240" w:lineRule="auto"/>
      <w:ind w:left="283" w:firstLine="1"/>
      <w:jc w:val="both"/>
    </w:pPr>
    <w:rPr>
      <w:rFonts w:ascii="Times New Roman" w:eastAsia="Times New Roman" w:hAnsi="Times New Roman" w:cs="Times New Roman"/>
      <w:sz w:val="24"/>
      <w:szCs w:val="20"/>
      <w:lang w:val="en-GB" w:eastAsia="tr-TR"/>
    </w:rPr>
  </w:style>
  <w:style w:type="character" w:customStyle="1" w:styleId="BodyTextIndentChar">
    <w:name w:val="Body Text Indent Char"/>
    <w:basedOn w:val="DefaultParagraphFont"/>
    <w:link w:val="BodyTextIndent"/>
    <w:semiHidden/>
    <w:rsid w:val="00260B67"/>
    <w:rPr>
      <w:rFonts w:ascii="Times New Roman" w:eastAsia="Times New Roman" w:hAnsi="Times New Roman" w:cs="Times New Roman"/>
      <w:sz w:val="24"/>
      <w:szCs w:val="20"/>
      <w:lang w:val="en-GB" w:eastAsia="tr-TR"/>
    </w:rPr>
  </w:style>
  <w:style w:type="paragraph" w:styleId="BodyText">
    <w:name w:val="Body Text"/>
    <w:basedOn w:val="Normal"/>
    <w:link w:val="BodyTextChar"/>
    <w:semiHidden/>
    <w:rsid w:val="00260B67"/>
    <w:pPr>
      <w:spacing w:after="0" w:line="240" w:lineRule="auto"/>
      <w:jc w:val="both"/>
    </w:pPr>
    <w:rPr>
      <w:rFonts w:ascii="Times New Roman" w:eastAsia="Times New Roman" w:hAnsi="Times New Roman" w:cs="Times New Roman"/>
      <w:sz w:val="24"/>
      <w:szCs w:val="20"/>
      <w:lang w:val="en-GB" w:eastAsia="tr-TR"/>
    </w:rPr>
  </w:style>
  <w:style w:type="character" w:customStyle="1" w:styleId="BodyTextChar">
    <w:name w:val="Body Text Char"/>
    <w:basedOn w:val="DefaultParagraphFont"/>
    <w:link w:val="BodyText"/>
    <w:semiHidden/>
    <w:rsid w:val="00260B67"/>
    <w:rPr>
      <w:rFonts w:ascii="Times New Roman" w:eastAsia="Times New Roman" w:hAnsi="Times New Roman" w:cs="Times New Roman"/>
      <w:sz w:val="24"/>
      <w:szCs w:val="20"/>
      <w:lang w:val="en-GB" w:eastAsia="tr-TR"/>
    </w:rPr>
  </w:style>
  <w:style w:type="paragraph" w:styleId="BodyTextIndent2">
    <w:name w:val="Body Text Indent 2"/>
    <w:basedOn w:val="Normal"/>
    <w:link w:val="BodyTextIndent2Char"/>
    <w:semiHidden/>
    <w:rsid w:val="00260B67"/>
    <w:pPr>
      <w:spacing w:after="0" w:line="240" w:lineRule="auto"/>
      <w:ind w:hanging="284"/>
      <w:jc w:val="both"/>
    </w:pPr>
    <w:rPr>
      <w:rFonts w:ascii="Times New Roman" w:eastAsia="Times New Roman" w:hAnsi="Times New Roman" w:cs="Times New Roman"/>
      <w:sz w:val="24"/>
      <w:szCs w:val="20"/>
      <w:lang w:val="en-GB" w:eastAsia="tr-TR"/>
    </w:rPr>
  </w:style>
  <w:style w:type="character" w:customStyle="1" w:styleId="BodyTextIndent2Char">
    <w:name w:val="Body Text Indent 2 Char"/>
    <w:basedOn w:val="DefaultParagraphFont"/>
    <w:link w:val="BodyTextIndent2"/>
    <w:semiHidden/>
    <w:rsid w:val="00260B67"/>
    <w:rPr>
      <w:rFonts w:ascii="Times New Roman" w:eastAsia="Times New Roman" w:hAnsi="Times New Roman" w:cs="Times New Roman"/>
      <w:sz w:val="24"/>
      <w:szCs w:val="20"/>
      <w:lang w:val="en-GB" w:eastAsia="tr-TR"/>
    </w:rPr>
  </w:style>
  <w:style w:type="paragraph" w:styleId="Header">
    <w:name w:val="header"/>
    <w:basedOn w:val="Normal"/>
    <w:link w:val="HeaderChar"/>
    <w:semiHidden/>
    <w:rsid w:val="00260B67"/>
    <w:pPr>
      <w:tabs>
        <w:tab w:val="center" w:pos="4153"/>
        <w:tab w:val="right" w:pos="8306"/>
      </w:tabs>
      <w:spacing w:after="0" w:line="240" w:lineRule="auto"/>
      <w:ind w:left="283" w:hanging="283"/>
      <w:jc w:val="both"/>
    </w:pPr>
    <w:rPr>
      <w:rFonts w:ascii="Times New Roman" w:eastAsia="Times New Roman" w:hAnsi="Times New Roman" w:cs="Times New Roman"/>
      <w:sz w:val="24"/>
      <w:szCs w:val="20"/>
      <w:lang w:val="en-GB" w:eastAsia="tr-TR"/>
    </w:rPr>
  </w:style>
  <w:style w:type="character" w:customStyle="1" w:styleId="HeaderChar">
    <w:name w:val="Header Char"/>
    <w:basedOn w:val="DefaultParagraphFont"/>
    <w:link w:val="Header"/>
    <w:semiHidden/>
    <w:rsid w:val="00260B67"/>
    <w:rPr>
      <w:rFonts w:ascii="Times New Roman" w:eastAsia="Times New Roman" w:hAnsi="Times New Roman" w:cs="Times New Roman"/>
      <w:sz w:val="24"/>
      <w:szCs w:val="20"/>
      <w:lang w:val="en-GB" w:eastAsia="tr-TR"/>
    </w:rPr>
  </w:style>
  <w:style w:type="paragraph" w:styleId="ListParagraph">
    <w:name w:val="List Paragraph"/>
    <w:basedOn w:val="Normal"/>
    <w:uiPriority w:val="34"/>
    <w:qFormat/>
    <w:rsid w:val="00260B67"/>
    <w:pPr>
      <w:spacing w:after="0" w:line="240" w:lineRule="auto"/>
      <w:ind w:left="720" w:hanging="283"/>
      <w:contextualSpacing/>
      <w:jc w:val="both"/>
    </w:pPr>
    <w:rPr>
      <w:rFonts w:ascii="Times New Roman" w:eastAsia="Times New Roman" w:hAnsi="Times New Roman" w:cs="Times New Roman"/>
      <w:sz w:val="24"/>
      <w:szCs w:val="20"/>
      <w:lang w:val="en-GB"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6599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TBClassification>
  <attrValue xml:space="preserve">HİZMETE ÖZEL/RESTRICTED</attrValue>
  <customPropName>Classification</customPropName>
  <timestamp>19.12.2024 19:16:05</timestamp>
  <userName>BORSA\gozdec</userName>
  <computerName>CNPPBGOZDECA.BORSA.LOCAL</computerName>
  <guid>{726ad73e-a57c-4016-af8e-bf18329f1b28}</guid>
</GTBClassification>
</file>

<file path=customXml/itemProps1.xml><?xml version="1.0" encoding="utf-8"?>
<ds:datastoreItem xmlns:ds="http://schemas.openxmlformats.org/officeDocument/2006/customXml" ds:itemID="{568EB79F-1817-493D-BA9B-B42CF0A7C7B1}">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712</Words>
  <Characters>5095</Characters>
  <Application>Microsoft Office Word</Application>
  <DocSecurity>0</DocSecurity>
  <Lines>108</Lines>
  <Paragraphs>39</Paragraphs>
  <ScaleCrop>false</ScaleCrop>
  <Company/>
  <LinksUpToDate>false</LinksUpToDate>
  <CharactersWithSpaces>5768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Gözde Canlı</dc:creator>
  <cp:keywords>ClassificationData:&lt;Classification:HİZMETE ÖZEL/RESTRICTED&gt;</cp:keywords>
  <dc:description/>
  <cp:lastModifiedBy>Gözde Canlı</cp:lastModifiedBy>
  <cp:revision>2</cp:revision>
  <dcterms:created xsi:type="dcterms:W3CDTF">2024-12-19T16:14:00Z</dcterms:created>
  <dcterms:modified xsi:type="dcterms:W3CDTF">2024-12-19T16:16:00Z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HİZMETE ÖZEL/RESTRICTED</vt:lpwstr>
  </property>
  <property fmtid="{D5CDD505-2E9C-101B-9397-08002B2CF9AE}" pid="3" name="ClassifiedBy">
    <vt:lpwstr>BORSA\gozdec</vt:lpwstr>
  </property>
  <property fmtid="{D5CDD505-2E9C-101B-9397-08002B2CF9AE}" pid="4" name="ClassificationHost">
    <vt:lpwstr>CNPPBGOZDECA.BORSA.LOCAL</vt:lpwstr>
  </property>
  <property fmtid="{D5CDD505-2E9C-101B-9397-08002B2CF9AE}" pid="5" name="ClassificationDate">
    <vt:lpwstr>19.12.2024 19:16:05</vt:lpwstr>
  </property>
  <property fmtid="{D5CDD505-2E9C-101B-9397-08002B2CF9AE}" pid="6" name="ClassificationGUID">
    <vt:lpwstr>{726ad73e-a57c-4016-af8e-bf18329f1b28}</vt:lpwstr>
  </property>
</Properties>
</file>